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i/>
          <w:iCs/>
          <w:color w:val="666666"/>
        </w:rPr>
        <w:t xml:space="preserve">[Date]</w:t>
      </w:r>
    </w:p>
    <w:p>
      <w:pPr>
        <w:spacing w:after="0"/>
      </w:pPr>
      <w:r>
        <w:rPr>
          <w:i/>
          <w:iCs/>
          <w:color w:val="666666"/>
        </w:rPr>
        <w:t xml:space="preserve">[Manager’s Name]</w:t>
      </w:r>
    </w:p>
    <w:p>
      <w:pPr>
        <w:spacing w:after="0"/>
      </w:pPr>
      <w:r>
        <w:rPr>
          <w:i/>
          <w:iCs/>
          <w:color w:val="666666"/>
        </w:rPr>
        <w:t xml:space="preserve">[Manager’s Title]</w:t>
      </w:r>
    </w:p>
    <w:p>
      <w:pPr>
        <w:spacing w:after="200"/>
      </w:pPr>
      <w:r>
        <w:rPr>
          <w:i/>
          <w:iCs/>
          <w:color w:val="666666"/>
        </w:rPr>
        <w:t xml:space="preserve">[Organization Name]</w:t>
      </w:r>
    </w:p>
    <w:p>
      <w:pPr>
        <w:spacing w:after="200"/>
      </w:pPr>
      <w:r>
        <w:rPr>
          <w:b/>
          <w:bCs/>
        </w:rPr>
        <w:t xml:space="preserve">Re: Professional Development Training Request — Regulatory Coordinator Training Program</w:t>
      </w:r>
    </w:p>
    <w:p>
      <w:pPr>
        <w:spacing w:after="200"/>
      </w:pPr>
      <w:r>
        <w:t xml:space="preserve">Dear [Manager’s Name],</w:t>
      </w:r>
    </w:p>
    <w:p>
      <w:pPr>
        <w:spacing w:after="200"/>
      </w:pPr>
      <w:r>
        <w:t xml:space="preserve">I am writing to request reimbursement for the Regulatory Coordinator training program offered by FreeGCP (freegcp.com). The one-time cost is [Your price — shown on the track page].</w:t>
      </w:r>
    </w:p>
    <w:p>
      <w:pPr>
        <w:pStyle w:val="Heading2"/>
      </w:pPr>
      <w:r>
        <w:t xml:space="preserve">About the Program</w:t>
      </w:r>
    </w:p>
    <w:p>
      <w:pPr>
        <w:spacing w:after="200"/>
      </w:pPr>
      <w:r>
        <w:t xml:space="preserve">FreeGCP is a clinical research education platform that provides comprehensive training aligned with ICH E6(R3) as adopted January 2025. I have already completed their GCP certification training (available at no cost). The Regulatory Coordinator program is the role-specific continuation — 7 courses and approximately 67 hours of structured training covering:</w:t>
      </w:r>
    </w:p>
    <w:p>
      <w:pPr>
        <w:pStyle w:val="ListParagraph"/>
        <w:numPr>
          <w:ilvl w:val="0"/>
          <w:numId w:val="2"/>
        </w:numPr>
        <w:spacing w:after="60"/>
      </w:pPr>
      <w:r>
        <w:t xml:space="preserve">IRB/IEC submissions, continuing review, and regulatory stakeholder management across a multi-study portfolio</w:t>
      </w:r>
    </w:p>
    <w:p>
      <w:pPr>
        <w:pStyle w:val="ListParagraph"/>
        <w:numPr>
          <w:ilvl w:val="0"/>
          <w:numId w:val="2"/>
        </w:numPr>
        <w:spacing w:after="60"/>
      </w:pPr>
      <w:r>
        <w:t xml:space="preserve">Protocol amendment management — from impact assessment through implementation verification and reconsent coordination</w:t>
      </w:r>
    </w:p>
    <w:p>
      <w:pPr>
        <w:pStyle w:val="ListParagraph"/>
        <w:numPr>
          <w:ilvl w:val="0"/>
          <w:numId w:val="2"/>
        </w:numPr>
        <w:spacing w:after="60"/>
      </w:pPr>
      <w:r>
        <w:t xml:space="preserve">Safety reporting coordination — processing sponsor communications, managing IRB safety reports, and supporting investigator assessments</w:t>
      </w:r>
    </w:p>
    <w:p>
      <w:pPr>
        <w:pStyle w:val="ListParagraph"/>
        <w:numPr>
          <w:ilvl w:val="0"/>
          <w:numId w:val="2"/>
        </w:numPr>
        <w:spacing w:after="60"/>
      </w:pPr>
      <w:r>
        <w:t xml:space="preserve">Essential records infrastructure — TMF alignment, version control systems, electronic records compliance (21 CFR Part 11)</w:t>
      </w:r>
    </w:p>
    <w:p>
      <w:pPr>
        <w:pStyle w:val="ListParagraph"/>
        <w:numPr>
          <w:ilvl w:val="0"/>
          <w:numId w:val="2"/>
        </w:numPr>
        <w:spacing w:after="60"/>
      </w:pPr>
      <w:r>
        <w:t xml:space="preserve">Inspection readiness and regulatory quality management — gap analysis, mock inspections, CAPA methodology</w:t>
      </w:r>
    </w:p>
    <w:p>
      <w:pPr>
        <w:pStyle w:val="ListParagraph"/>
        <w:numPr>
          <w:ilvl w:val="0"/>
          <w:numId w:val="2"/>
        </w:numPr>
        <w:spacing w:after="200"/>
      </w:pPr>
      <w:r>
        <w:t xml:space="preserve">Regulatory operations leadership — team management, process improvement, metrics, and career progression</w:t>
      </w:r>
    </w:p>
    <w:p>
      <w:pPr>
        <w:pStyle w:val="Heading2"/>
      </w:pPr>
      <w:r>
        <w:t xml:space="preserve">Cost Comparison</w:t>
      </w:r>
    </w:p>
    <w:p>
      <w:pPr>
        <w:spacing w:after="200"/>
      </w:pPr>
      <w:r>
        <w:t xml:space="preserve">The following table compares the cost of this training to industry alternatives: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gridCol w:w="2800"/>
      </w:tblGrid>
      <w:tr>
        <w:tc>
          <w:tcPr>
            <w:tcW w:type="dxa" w:w="2800"/>
            <w:tcBorders>
              <w:top w:val="single" w:color="CCCCCC" w:sz="1"/>
              <w:left w:val="single" w:color="CCCCCC" w:sz="1"/>
              <w:bottom w:val="single" w:color="CCCCCC" w:sz="1"/>
              <w:right w:val="single" w:color="CCCCCC" w:sz="1"/>
            </w:tcBorders>
            <w:shd w:fill="1A3C5E" w:val="clear"/>
            <w:tcMar>
              <w:top w:type="dxa" w:w="80"/>
              <w:left w:type="dxa" w:w="120"/>
              <w:bottom w:type="dxa" w:w="80"/>
              <w:right w:type="dxa" w:w="120"/>
            </w:tcMar>
          </w:tcPr>
          <w:p>
            <w:r>
              <w:rPr>
                <w:b/>
                <w:bCs/>
                <w:color w:val="FFFFFF"/>
                <w:sz w:val="20"/>
                <w:szCs w:val="20"/>
              </w:rPr>
              <w:t xml:space="preserve">Provider</w:t>
            </w:r>
          </w:p>
        </w:tc>
        <w:tc>
          <w:tcPr>
            <w:tcW w:type="dxa" w:w="3760"/>
            <w:tcBorders>
              <w:top w:val="single" w:color="CCCCCC" w:sz="1"/>
              <w:left w:val="single" w:color="CCCCCC" w:sz="1"/>
              <w:bottom w:val="single" w:color="CCCCCC" w:sz="1"/>
              <w:right w:val="single" w:color="CCCCCC" w:sz="1"/>
            </w:tcBorders>
            <w:shd w:fill="1A3C5E" w:val="clear"/>
            <w:tcMar>
              <w:top w:type="dxa" w:w="80"/>
              <w:left w:type="dxa" w:w="120"/>
              <w:bottom w:type="dxa" w:w="80"/>
              <w:right w:type="dxa" w:w="120"/>
            </w:tcMar>
          </w:tcPr>
          <w:p>
            <w:r>
              <w:rPr>
                <w:b/>
                <w:bCs/>
                <w:color w:val="FFFFFF"/>
                <w:sz w:val="20"/>
                <w:szCs w:val="20"/>
              </w:rPr>
              <w:t xml:space="preserve">Scope</w:t>
            </w:r>
          </w:p>
        </w:tc>
        <w:tc>
          <w:tcPr>
            <w:tcW w:type="dxa" w:w="2800"/>
            <w:tcBorders>
              <w:top w:val="single" w:color="CCCCCC" w:sz="1"/>
              <w:left w:val="single" w:color="CCCCCC" w:sz="1"/>
              <w:bottom w:val="single" w:color="CCCCCC" w:sz="1"/>
              <w:right w:val="single" w:color="CCCCCC" w:sz="1"/>
            </w:tcBorders>
            <w:shd w:fill="1A3C5E" w:val="clear"/>
            <w:tcMar>
              <w:top w:type="dxa" w:w="80"/>
              <w:left w:type="dxa" w:w="120"/>
              <w:bottom w:type="dxa" w:w="80"/>
              <w:right w:type="dxa" w:w="120"/>
            </w:tcMar>
          </w:tcPr>
          <w:p>
            <w:r>
              <w:rPr>
                <w:b/>
                <w:bCs/>
                <w:color w:val="FFFFFF"/>
                <w:sz w:val="20"/>
                <w:szCs w:val="20"/>
              </w:rPr>
              <w:t xml:space="preserve">Cost</w:t>
            </w:r>
          </w:p>
        </w:tc>
      </w:tr>
      <w:tr>
        <w:tc>
          <w:tcPr>
            <w:tcW w:type="dxa" w:w="2800"/>
            <w:tcBorders>
              <w:top w:val="single" w:color="CCCCCC" w:sz="1"/>
              <w:left w:val="single" w:color="CCCCCC" w:sz="1"/>
              <w:bottom w:val="single" w:color="CCCCCC" w:sz="1"/>
              <w:right w:val="single" w:color="CCCCCC" w:sz="1"/>
            </w:tcBorders>
            <w:shd w:fill="E8F4E8" w:val="clear"/>
            <w:tcMar>
              <w:top w:type="dxa" w:w="80"/>
              <w:left w:type="dxa" w:w="120"/>
              <w:bottom w:type="dxa" w:w="80"/>
              <w:right w:type="dxa" w:w="120"/>
            </w:tcMar>
          </w:tcPr>
          <w:p>
            <w:r>
              <w:rPr>
                <w:b/>
                <w:bCs/>
                <w:sz w:val="20"/>
                <w:szCs w:val="20"/>
              </w:rPr>
              <w:t xml:space="preserve">FreeGCP — RC Track</w:t>
            </w:r>
          </w:p>
        </w:tc>
        <w:tc>
          <w:tcPr>
            <w:tcW w:type="dxa" w:w="3760"/>
            <w:tcBorders>
              <w:top w:val="single" w:color="CCCCCC" w:sz="1"/>
              <w:left w:val="single" w:color="CCCCCC" w:sz="1"/>
              <w:bottom w:val="single" w:color="CCCCCC" w:sz="1"/>
              <w:right w:val="single" w:color="CCCCCC" w:sz="1"/>
            </w:tcBorders>
            <w:shd w:fill="E8F4E8" w:val="clear"/>
            <w:tcMar>
              <w:top w:type="dxa" w:w="80"/>
              <w:left w:type="dxa" w:w="120"/>
              <w:bottom w:type="dxa" w:w="80"/>
              <w:right w:type="dxa" w:w="120"/>
            </w:tcMar>
          </w:tcPr>
          <w:p>
            <w:r>
              <w:rPr>
                <w:sz w:val="20"/>
                <w:szCs w:val="20"/>
              </w:rPr>
              <w:t xml:space="preserve">Free GCP cert + 67-hour RC curriculum (7 courses, 180 lessons)</w:t>
            </w:r>
          </w:p>
        </w:tc>
        <w:tc>
          <w:tcPr>
            <w:tcW w:type="dxa" w:w="2800"/>
            <w:tcBorders>
              <w:top w:val="single" w:color="CCCCCC" w:sz="1"/>
              <w:left w:val="single" w:color="CCCCCC" w:sz="1"/>
              <w:bottom w:val="single" w:color="CCCCCC" w:sz="1"/>
              <w:right w:val="single" w:color="CCCCCC" w:sz="1"/>
            </w:tcBorders>
            <w:shd w:fill="E8F4E8" w:val="clear"/>
            <w:tcMar>
              <w:top w:type="dxa" w:w="80"/>
              <w:left w:type="dxa" w:w="120"/>
              <w:bottom w:type="dxa" w:w="80"/>
              <w:right w:type="dxa" w:w="120"/>
            </w:tcMar>
          </w:tcPr>
          <w:p>
            <w:r>
              <w:rPr>
                <w:b/>
                <w:bCs/>
                <w:sz w:val="20"/>
                <w:szCs w:val="20"/>
              </w:rPr>
              <w:t xml:space="preserve">[Your price] one-time (GCP cert free)</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University RA Programs</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Regulatory affairs certificates (sponsor-focused, not site operations)</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$3,000–$8,000</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ACRP/SoCRA Certification</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Certification exam + membership (no structured training)</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$400–$800+</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Conference Workshops</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1–2 day sessions (no structured curriculum)</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$500–$1,500 + travel</w:t>
            </w:r>
          </w:p>
        </w:tc>
      </w:tr>
    </w:tbl>
    <w:p>
      <w:pPr>
        <w:spacing w:after="0"/>
      </w:pPr>
    </w:p>
    <w:p>
      <w:pPr>
        <w:pStyle w:val="Heading2"/>
      </w:pPr>
      <w:r>
        <w:t xml:space="preserve">Business Justification</w:t>
      </w:r>
    </w:p>
    <w:p>
      <w:pPr>
        <w:spacing w:after="200"/>
      </w:pPr>
      <w:r>
        <w:t xml:space="preserve">This training directly supports our organization’s compliance requirements and operational quality. Specifically:</w:t>
      </w:r>
    </w:p>
    <w:p>
      <w:pPr>
        <w:pStyle w:val="ListParagraph"/>
        <w:numPr>
          <w:ilvl w:val="0"/>
          <w:numId w:val="2"/>
        </w:numPr>
        <w:spacing w:after="120"/>
      </w:pPr>
      <w:r>
        <w:rPr>
          <w:b/>
          <w:bCs/>
        </w:rPr>
        <w:t xml:space="preserve">Regulatory compliance — </w:t>
      </w:r>
      <w:r>
        <w:t xml:space="preserve">ICH E6(R3) was adopted in January 2025 and significantly elevated the regulatory expectations for investigator sites. This curriculum is built entirely on the current guideline, ensuring our regulatory operations meet the latest standards.</w:t>
      </w:r>
    </w:p>
    <w:p>
      <w:pPr>
        <w:pStyle w:val="ListParagraph"/>
        <w:numPr>
          <w:ilvl w:val="0"/>
          <w:numId w:val="2"/>
        </w:numPr>
        <w:spacing w:after="120"/>
      </w:pPr>
      <w:r>
        <w:rPr>
          <w:b/>
          <w:bCs/>
        </w:rPr>
        <w:t xml:space="preserve">Inspection readiness — </w:t>
      </w:r>
      <w:r>
        <w:t xml:space="preserve">The program includes dedicated training on gap analysis, mock inspections, CAPA methodology, and regulatory quality management. Sites with trained regulatory coordinators report fewer inspection findings and faster corrective action closure.</w:t>
      </w:r>
    </w:p>
    <w:p>
      <w:pPr>
        <w:pStyle w:val="ListParagraph"/>
        <w:numPr>
          <w:ilvl w:val="0"/>
          <w:numId w:val="2"/>
        </w:numPr>
        <w:spacing w:after="120"/>
      </w:pPr>
      <w:r>
        <w:rPr>
          <w:b/>
          <w:bCs/>
        </w:rPr>
        <w:t xml:space="preserve">Operational efficiency — </w:t>
      </w:r>
      <w:r>
        <w:t xml:space="preserve">Portfolio-level regulatory management training reduces submission errors, prevents IRB lapses, and improves amendment turnaround times. This directly impacts site activation speed and sponsor relationships.</w:t>
      </w:r>
    </w:p>
    <w:p>
      <w:pPr>
        <w:pStyle w:val="ListParagraph"/>
        <w:numPr>
          <w:ilvl w:val="0"/>
          <w:numId w:val="2"/>
        </w:numPr>
        <w:spacing w:after="120"/>
      </w:pPr>
      <w:r>
        <w:rPr>
          <w:b/>
          <w:bCs/>
        </w:rPr>
        <w:t xml:space="preserve">Staff development and retention — </w:t>
      </w:r>
      <w:r>
        <w:t xml:space="preserve">Investing in structured professional development increases regulatory staff competence and job satisfaction, reducing costly turnover in a competitive hiring market where 67% of sites report regulatory coordinator shortages.</w:t>
      </w:r>
    </w:p>
    <w:p>
      <w:pPr>
        <w:pStyle w:val="ListParagraph"/>
        <w:numPr>
          <w:ilvl w:val="0"/>
          <w:numId w:val="2"/>
        </w:numPr>
        <w:spacing w:after="200"/>
      </w:pPr>
      <w:r>
        <w:rPr>
          <w:b/>
          <w:bCs/>
        </w:rPr>
        <w:t xml:space="preserve">Cost efficiency — </w:t>
      </w:r>
      <w:r>
        <w:t xml:space="preserve">This one-time purchase includes lifetime access and free GCP certification, representing significantly better value than university programs ($3,000–$8,000) or recurring conference workshops ($500–$1,500 per session).</w:t>
      </w:r>
    </w:p>
    <w:p>
      <w:pPr>
        <w:pStyle w:val="Heading2"/>
      </w:pPr>
      <w:r>
        <w:t xml:space="preserve">Program Credibility</w:t>
      </w:r>
    </w:p>
    <w:p>
      <w:pPr>
        <w:spacing w:after="200"/>
      </w:pPr>
      <w:r>
        <w:t xml:space="preserve">FreeGCP’s training platform includes 574 lessons across 18 courses, with rigorous scenario-based assessments at every level. The Regulatory Coordinator program specifically includes 180 lessons, 47 module quizzes, 7 final exams, and a capstone assessment. All ICH E6(R3) references in the curriculum were verified against the final guideline text. Certificates include unique credential IDs and public verification URLs that employers and sponsors can check online.</w:t>
      </w:r>
    </w:p>
    <w:p>
      <w:pPr>
        <w:spacing w:after="200"/>
      </w:pPr>
      <w:r>
        <w:t xml:space="preserve">I believe this training will strengthen both my professional capabilities and our site’s regulatory operations quality. I would welcome the opportunity to discuss this further at your convenience.</w:t>
      </w:r>
    </w:p>
    <w:p>
      <w:pPr>
        <w:spacing w:after="200"/>
      </w:pPr>
      <w:r>
        <w:t xml:space="preserve">Thank you for considering this request.</w:t>
      </w:r>
    </w:p>
    <w:p>
      <w:pPr>
        <w:spacing w:after="0"/>
      </w:pPr>
      <w:r>
        <w:t xml:space="preserve">Sincerely,</w:t>
      </w:r>
    </w:p>
    <w:p>
      <w:pPr>
        <w:spacing w:after="0"/>
      </w:pPr>
      <w:r>
        <w:rPr>
          <w:i/>
          <w:iCs/>
          <w:color w:val="666666"/>
        </w:rPr>
        <w:t xml:space="preserve">[Your Name]</w:t>
      </w:r>
    </w:p>
    <w:p>
      <w:pPr>
        <w:spacing w:after="0"/>
      </w:pPr>
      <w:r>
        <w:rPr>
          <w:i/>
          <w:iCs/>
          <w:color w:val="666666"/>
        </w:rPr>
        <w:t xml:space="preserve">[Your Title]</w:t>
      </w:r>
    </w:p>
    <w:p>
      <w:pPr>
        <w:spacing w:after="0"/>
      </w:pPr>
      <w:r>
        <w:rPr>
          <w:i/>
          <w:iCs/>
          <w:color w:val="666666"/>
        </w:rPr>
        <w:t xml:space="preserve">[Organization Name]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8"/>
      </w:pBd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3C5E" w:sz="6" w:space="8"/>
      </w:pBdr>
      <w:spacing w:after="200"/>
    </w:pPr>
    <w:r>
      <w:rPr>
        <w:rFonts w:ascii="Arial" w:cs="Arial" w:eastAsia="Arial" w:hAnsi="Arial"/>
        <w:b/>
        <w:bCs/>
        <w:color w:val="1A3C5E"/>
        <w:sz w:val="18"/>
        <w:szCs w:val="18"/>
      </w:rPr>
      <w:t xml:space="preserve">Professional Development Request</w:t>
    </w:r>
    <w:r>
      <w:rPr>
        <w:rFonts w:ascii="Arial" w:cs="Arial" w:eastAsia="Arial" w:hAnsi="Arial"/>
        <w:color w:val="999999"/>
        <w:sz w:val="18"/>
        <w:szCs w:val="18"/>
      </w:rPr>
      <w:t xml:space="preserve">  |  </w:t>
    </w:r>
    <w:r>
      <w:rPr>
        <w:rFonts w:ascii="Arial" w:cs="Arial" w:eastAsia="Arial" w:hAnsi="Arial"/>
        <w:color w:val="666666"/>
        <w:sz w:val="18"/>
        <w:szCs w:val="18"/>
      </w:rPr>
      <w:t xml:space="preserve">FreeGCP.com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pPr>
    <w:rPr>
      <w:rFonts w:ascii="Arial" w:cs="Arial" w:eastAsia="Arial" w:hAnsi="Arial"/>
      <w:b/>
      <w:bCs/>
      <w:color w:val="1A3C5E"/>
      <w:sz w:val="28"/>
      <w:szCs w:val="28"/>
    </w:rPr>
  </w:style>
  <w:style w:type="paragraph" w:styleId="Heading2">
    <w:name w:val="Heading 2"/>
    <w:basedOn w:val="Normal"/>
    <w:next w:val="Normal"/>
    <w:qFormat/>
    <w:pPr>
      <w:spacing w:after="120" w:before="240"/>
    </w:pPr>
    <w:rPr>
      <w:rFonts w:ascii="Arial" w:cs="Arial" w:eastAsia="Arial" w:hAnsi="Arial"/>
      <w:b/>
      <w:bCs/>
      <w:color w:val="1A3C5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2026-04-02T19:09:26.482Z</dcterms:created>
  <dcterms:modified xsi:type="dcterms:W3CDTF">2026-04-02T19:09:26.482Z</dcterms:modified>
</cp:coreProperties>
</file>

<file path=docProps/custom.xml><?xml version="1.0" encoding="utf-8"?>
<Properties xmlns="http://schemas.openxmlformats.org/officeDocument/2006/custom-properties" xmlns:vt="http://schemas.openxmlformats.org/officeDocument/2006/docPropsVTypes"/>
</file>