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F7E6" w14:textId="77777777" w:rsidR="00E30754" w:rsidRDefault="00000000">
      <w:r>
        <w:rPr>
          <w:i/>
          <w:iCs/>
          <w:color w:val="666666"/>
        </w:rPr>
        <w:t>[Date]</w:t>
      </w:r>
    </w:p>
    <w:p w14:paraId="241337C7" w14:textId="77777777" w:rsidR="00E30754" w:rsidRDefault="00000000">
      <w:r>
        <w:rPr>
          <w:i/>
          <w:iCs/>
          <w:color w:val="666666"/>
        </w:rPr>
        <w:t>[Manager’s Name]</w:t>
      </w:r>
    </w:p>
    <w:p w14:paraId="104FA57D" w14:textId="77777777" w:rsidR="00E30754" w:rsidRDefault="00000000">
      <w:r>
        <w:rPr>
          <w:i/>
          <w:iCs/>
          <w:color w:val="666666"/>
        </w:rPr>
        <w:t>[Manager’s Title]</w:t>
      </w:r>
    </w:p>
    <w:p w14:paraId="5A8C57DE" w14:textId="77777777" w:rsidR="00E30754" w:rsidRDefault="00000000">
      <w:pPr>
        <w:spacing w:after="200"/>
      </w:pPr>
      <w:r>
        <w:rPr>
          <w:i/>
          <w:iCs/>
          <w:color w:val="666666"/>
        </w:rPr>
        <w:t>[Organization Name]</w:t>
      </w:r>
    </w:p>
    <w:p w14:paraId="5513C6F9" w14:textId="77777777" w:rsidR="00E30754" w:rsidRDefault="00000000">
      <w:pPr>
        <w:spacing w:after="200"/>
      </w:pPr>
      <w:r>
        <w:rPr>
          <w:b/>
          <w:bCs/>
        </w:rPr>
        <w:t>Re: Professional Development Training Request — Clinical Research Coordinator (CRC) Professional Track</w:t>
      </w:r>
    </w:p>
    <w:p w14:paraId="72C52ACD" w14:textId="77777777" w:rsidR="00E30754" w:rsidRDefault="00000000">
      <w:pPr>
        <w:spacing w:after="200"/>
      </w:pPr>
      <w:r>
        <w:t>Dear [Manager’s Name],</w:t>
      </w:r>
    </w:p>
    <w:p w14:paraId="1107ED57" w14:textId="77777777" w:rsidR="00E30754" w:rsidRDefault="00000000">
      <w:pPr>
        <w:spacing w:after="200"/>
      </w:pPr>
      <w:r>
        <w:t xml:space="preserve">I am writing to request reimbursement for the Clinical Research Coordinator (CRC) Professional Track offered by </w:t>
      </w:r>
      <w:proofErr w:type="spellStart"/>
      <w:r>
        <w:t>FreeGCP</w:t>
      </w:r>
      <w:proofErr w:type="spellEnd"/>
      <w:r>
        <w:t xml:space="preserve"> (freegcp.com). The one-time cost is [Your price — shown on the track page].</w:t>
      </w:r>
    </w:p>
    <w:p w14:paraId="7828E79C" w14:textId="77777777" w:rsidR="00E30754" w:rsidRDefault="00000000">
      <w:pPr>
        <w:pStyle w:val="Heading2"/>
      </w:pPr>
      <w:r>
        <w:t>About the Program</w:t>
      </w:r>
    </w:p>
    <w:p w14:paraId="544A570A" w14:textId="77777777" w:rsidR="00E30754" w:rsidRDefault="00000000">
      <w:pPr>
        <w:spacing w:after="200"/>
      </w:pPr>
      <w:proofErr w:type="spellStart"/>
      <w:r>
        <w:t>FreeGCP</w:t>
      </w:r>
      <w:proofErr w:type="spellEnd"/>
      <w:r>
        <w:t xml:space="preserve"> is a clinical research education platform whose GCP certification training is recognized under the </w:t>
      </w:r>
      <w:proofErr w:type="spellStart"/>
      <w:r>
        <w:t>TransCelerate</w:t>
      </w:r>
      <w:proofErr w:type="spellEnd"/>
      <w:r>
        <w:t xml:space="preserve"> BioPharma GCP Mutual Recognition framework and accepted by 18+ trial sponsors including Pfizer, Novartis, AstraZeneca, Eli Lilly, Merck, and Roche.</w:t>
      </w:r>
    </w:p>
    <w:p w14:paraId="42F9EEC7" w14:textId="77777777" w:rsidR="00E30754" w:rsidRDefault="00000000">
      <w:pPr>
        <w:spacing w:after="200"/>
      </w:pPr>
      <w:r>
        <w:t>I have already completed their GCP certification (free of charge). The CRC Professional Track is the role-specific continuation — 8 courses and approximately 100 hours of structured training covering:</w:t>
      </w:r>
    </w:p>
    <w:p w14:paraId="094A2176" w14:textId="77777777" w:rsidR="00E30754" w:rsidRDefault="00000000">
      <w:pPr>
        <w:pStyle w:val="ListParagraph"/>
        <w:numPr>
          <w:ilvl w:val="0"/>
          <w:numId w:val="2"/>
        </w:numPr>
        <w:spacing w:after="60"/>
      </w:pPr>
      <w:r>
        <w:t>Protocol management, regulatory submissions, and site operations</w:t>
      </w:r>
    </w:p>
    <w:p w14:paraId="7BF2652F" w14:textId="77777777" w:rsidR="00E30754" w:rsidRDefault="00000000">
      <w:pPr>
        <w:pStyle w:val="ListParagraph"/>
        <w:numPr>
          <w:ilvl w:val="0"/>
          <w:numId w:val="2"/>
        </w:numPr>
        <w:spacing w:after="60"/>
      </w:pPr>
      <w:r>
        <w:t>Informed consent processes aligned with ICH E6(R3) (adopted January 2025)</w:t>
      </w:r>
    </w:p>
    <w:p w14:paraId="1D20BA8E" w14:textId="77777777" w:rsidR="00E30754" w:rsidRDefault="00000000">
      <w:pPr>
        <w:pStyle w:val="ListParagraph"/>
        <w:numPr>
          <w:ilvl w:val="0"/>
          <w:numId w:val="2"/>
        </w:numPr>
        <w:spacing w:after="60"/>
      </w:pPr>
      <w:r>
        <w:t>Source document verification, monitoring visit preparation, and audit readiness</w:t>
      </w:r>
    </w:p>
    <w:p w14:paraId="0BA1A471" w14:textId="77777777" w:rsidR="00E30754" w:rsidRDefault="00000000">
      <w:pPr>
        <w:pStyle w:val="ListParagraph"/>
        <w:numPr>
          <w:ilvl w:val="0"/>
          <w:numId w:val="2"/>
        </w:numPr>
        <w:spacing w:after="60"/>
      </w:pPr>
      <w:r>
        <w:t>Safety reporting, adverse event management, and pharmacovigilance fundamentals</w:t>
      </w:r>
    </w:p>
    <w:p w14:paraId="532E4822" w14:textId="77777777" w:rsidR="00E30754" w:rsidRDefault="00000000">
      <w:pPr>
        <w:pStyle w:val="ListParagraph"/>
        <w:numPr>
          <w:ilvl w:val="0"/>
          <w:numId w:val="2"/>
        </w:numPr>
        <w:spacing w:after="60"/>
      </w:pPr>
      <w:r>
        <w:t>Clinical data management, EDC systems, and query resolution</w:t>
      </w:r>
    </w:p>
    <w:p w14:paraId="31922C53" w14:textId="77777777" w:rsidR="00E30754" w:rsidRDefault="00000000">
      <w:pPr>
        <w:pStyle w:val="ListParagraph"/>
        <w:numPr>
          <w:ilvl w:val="0"/>
          <w:numId w:val="2"/>
        </w:numPr>
        <w:spacing w:after="200"/>
      </w:pPr>
      <w:r>
        <w:t>Patient recruitment, retention strategies, and study close-out procedures</w:t>
      </w:r>
    </w:p>
    <w:p w14:paraId="4FBB3C2D" w14:textId="77777777" w:rsidR="00E30754" w:rsidRDefault="00000000">
      <w:pPr>
        <w:pStyle w:val="Heading2"/>
      </w:pPr>
      <w:r>
        <w:t>Cost Comparison</w:t>
      </w:r>
    </w:p>
    <w:p w14:paraId="5D0063E3" w14:textId="77777777" w:rsidR="00E30754" w:rsidRDefault="00000000">
      <w:pPr>
        <w:spacing w:after="200"/>
      </w:pPr>
      <w:r>
        <w:t>The following table compares the cost of this training to industry alternatives: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760"/>
        <w:gridCol w:w="2800"/>
      </w:tblGrid>
      <w:tr w:rsidR="00E30754" w14:paraId="3974EC4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4D7A0" w14:textId="77777777" w:rsidR="00E30754" w:rsidRDefault="00000000">
            <w:r>
              <w:rPr>
                <w:b/>
                <w:bCs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0FF00" w14:textId="77777777" w:rsidR="00E30754" w:rsidRDefault="00000000">
            <w:r>
              <w:rPr>
                <w:b/>
                <w:bCs/>
                <w:color w:val="FFFFFF"/>
                <w:sz w:val="20"/>
                <w:szCs w:val="20"/>
              </w:rPr>
              <w:t>Scope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36FCD" w14:textId="77777777" w:rsidR="00E30754" w:rsidRDefault="00000000">
            <w:r>
              <w:rPr>
                <w:b/>
                <w:bCs/>
                <w:color w:val="FFFFFF"/>
                <w:sz w:val="20"/>
                <w:szCs w:val="20"/>
              </w:rPr>
              <w:t>Cost</w:t>
            </w:r>
          </w:p>
        </w:tc>
      </w:tr>
      <w:tr w:rsidR="00E30754" w14:paraId="4B74F26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953B5" w14:textId="77777777" w:rsidR="00E30754" w:rsidRDefault="00000000">
            <w:proofErr w:type="spellStart"/>
            <w:r>
              <w:rPr>
                <w:b/>
                <w:bCs/>
                <w:sz w:val="20"/>
                <w:szCs w:val="20"/>
              </w:rPr>
              <w:t>FreeGCP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— CRC Track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D2084" w14:textId="77777777" w:rsidR="00E30754" w:rsidRDefault="00000000">
            <w:r>
              <w:rPr>
                <w:sz w:val="20"/>
                <w:szCs w:val="20"/>
              </w:rPr>
              <w:t>GCP certification + 100-hour CRC curriculum (8 courses, 226 lessons)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455905" w14:textId="77777777" w:rsidR="00E30754" w:rsidRDefault="00000000">
            <w:r>
              <w:rPr>
                <w:b/>
                <w:bCs/>
                <w:sz w:val="20"/>
                <w:szCs w:val="20"/>
              </w:rPr>
              <w:t>[Your price] one-time (GCP cert free)</w:t>
            </w:r>
          </w:p>
        </w:tc>
      </w:tr>
      <w:tr w:rsidR="00E30754" w14:paraId="7B3ACE4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42E3C" w14:textId="77777777" w:rsidR="00E30754" w:rsidRDefault="00000000">
            <w:r>
              <w:rPr>
                <w:sz w:val="20"/>
                <w:szCs w:val="20"/>
              </w:rPr>
              <w:t>CITI Program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EA550" w14:textId="77777777" w:rsidR="00E30754" w:rsidRDefault="00000000">
            <w:r>
              <w:rPr>
                <w:sz w:val="20"/>
                <w:szCs w:val="20"/>
              </w:rPr>
              <w:t>GCP modules only (no role-specific training)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8CF05" w14:textId="77777777" w:rsidR="00E30754" w:rsidRDefault="00000000">
            <w:r>
              <w:rPr>
                <w:sz w:val="20"/>
                <w:szCs w:val="20"/>
              </w:rPr>
              <w:t>$150–$300 per cycle</w:t>
            </w:r>
          </w:p>
        </w:tc>
      </w:tr>
      <w:tr w:rsidR="00E30754" w14:paraId="1E7F7DF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957DC" w14:textId="77777777" w:rsidR="00E30754" w:rsidRDefault="00000000">
            <w:r>
              <w:rPr>
                <w:sz w:val="20"/>
                <w:szCs w:val="20"/>
              </w:rPr>
              <w:t>ACRP Certification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C5E5F" w14:textId="77777777" w:rsidR="00E30754" w:rsidRDefault="00000000">
            <w:r>
              <w:rPr>
                <w:sz w:val="20"/>
                <w:szCs w:val="20"/>
              </w:rPr>
              <w:t>Certification exam + membership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D5F59" w14:textId="77777777" w:rsidR="00E30754" w:rsidRDefault="00000000">
            <w:r>
              <w:rPr>
                <w:sz w:val="20"/>
                <w:szCs w:val="20"/>
              </w:rPr>
              <w:t>$400–$600+</w:t>
            </w:r>
          </w:p>
        </w:tc>
      </w:tr>
      <w:tr w:rsidR="00E30754" w14:paraId="2116F9A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08C7B" w14:textId="77777777" w:rsidR="00E30754" w:rsidRDefault="00000000">
            <w:r>
              <w:rPr>
                <w:sz w:val="20"/>
                <w:szCs w:val="20"/>
              </w:rPr>
              <w:t>Conference Training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A080D" w14:textId="77777777" w:rsidR="00E30754" w:rsidRDefault="00000000">
            <w:r>
              <w:rPr>
                <w:sz w:val="20"/>
                <w:szCs w:val="20"/>
              </w:rPr>
              <w:t>1–</w:t>
            </w:r>
            <w:proofErr w:type="gramStart"/>
            <w:r>
              <w:rPr>
                <w:sz w:val="20"/>
                <w:szCs w:val="20"/>
              </w:rPr>
              <w:t>2 day</w:t>
            </w:r>
            <w:proofErr w:type="gramEnd"/>
            <w:r>
              <w:rPr>
                <w:sz w:val="20"/>
                <w:szCs w:val="20"/>
              </w:rPr>
              <w:t xml:space="preserve"> workshops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3AB7F" w14:textId="77777777" w:rsidR="00E30754" w:rsidRDefault="00000000">
            <w:r>
              <w:rPr>
                <w:sz w:val="20"/>
                <w:szCs w:val="20"/>
              </w:rPr>
              <w:t>$500–$1,500 + travel</w:t>
            </w:r>
          </w:p>
        </w:tc>
      </w:tr>
    </w:tbl>
    <w:p w14:paraId="0973952B" w14:textId="77777777" w:rsidR="00E30754" w:rsidRDefault="00E30754"/>
    <w:p w14:paraId="322E59E1" w14:textId="77777777" w:rsidR="00E30754" w:rsidRDefault="00000000">
      <w:pPr>
        <w:pStyle w:val="Heading2"/>
      </w:pPr>
      <w:r>
        <w:t>Business Justification</w:t>
      </w:r>
    </w:p>
    <w:p w14:paraId="373ADC9D" w14:textId="77777777" w:rsidR="00E30754" w:rsidRDefault="00000000">
      <w:pPr>
        <w:spacing w:after="200"/>
      </w:pPr>
      <w:r>
        <w:t>This training directly supports our organization’s compliance requirements and operational quality. Specifically:</w:t>
      </w:r>
    </w:p>
    <w:p w14:paraId="682E3EA3" w14:textId="77777777" w:rsidR="00E30754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lastRenderedPageBreak/>
        <w:t xml:space="preserve">Regulatory compliance — </w:t>
      </w:r>
      <w:r>
        <w:t>ICH E6(R3) was adopted in January 2025. This curriculum is built on the current guideline, ensuring our staff operates under the latest regulatory expectations.</w:t>
      </w:r>
    </w:p>
    <w:p w14:paraId="5125D79E" w14:textId="77777777" w:rsidR="00E30754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Audit readiness — </w:t>
      </w:r>
      <w:r>
        <w:t>Role-specific training in source documentation, informed consent, and safety reporting reduces the risk of audit findings and inspection observations.</w:t>
      </w:r>
    </w:p>
    <w:p w14:paraId="33CDB186" w14:textId="77777777" w:rsidR="00E30754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Staff development and retention — </w:t>
      </w:r>
      <w:r>
        <w:t>Investing in professional development increases coordinator competence and job satisfaction, reducing costly turnover in a competitive hiring market.</w:t>
      </w:r>
    </w:p>
    <w:p w14:paraId="75203572" w14:textId="77777777" w:rsidR="00E30754" w:rsidRDefault="00000000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Cost efficiency — </w:t>
      </w:r>
      <w:r>
        <w:t>This one-time purchase includes lifetime access with free GCP certification, representing significantly better value than recurring per-module institutional licenses or multi-day conference workshops.</w:t>
      </w:r>
    </w:p>
    <w:p w14:paraId="6FAF5976" w14:textId="77777777" w:rsidR="00E30754" w:rsidRDefault="00000000">
      <w:pPr>
        <w:pStyle w:val="Heading2"/>
      </w:pPr>
      <w:r>
        <w:t>Recognition and Credibility</w:t>
      </w:r>
    </w:p>
    <w:p w14:paraId="3507F83B" w14:textId="0C4D471B" w:rsidR="00E30754" w:rsidRDefault="00000000">
      <w:pPr>
        <w:spacing w:after="200"/>
      </w:pPr>
      <w:proofErr w:type="spellStart"/>
      <w:r>
        <w:t>FreeGCP’s</w:t>
      </w:r>
      <w:proofErr w:type="spellEnd"/>
      <w:r>
        <w:t xml:space="preserve"> GCP certification is listed on the </w:t>
      </w:r>
      <w:proofErr w:type="spellStart"/>
      <w:r>
        <w:t>TransCelerate</w:t>
      </w:r>
      <w:proofErr w:type="spellEnd"/>
      <w:r>
        <w:t xml:space="preserve"> BioPharma GCP Mutual Recognition website and </w:t>
      </w:r>
      <w:r w:rsidR="00135959">
        <w:t>Shared</w:t>
      </w:r>
      <w:r>
        <w:t xml:space="preserve"> </w:t>
      </w:r>
      <w:r w:rsidR="00135959">
        <w:t>Investigator</w:t>
      </w:r>
      <w:r>
        <w:t xml:space="preserve"> </w:t>
      </w:r>
      <w:r w:rsidR="00135959">
        <w:t>Platform</w:t>
      </w:r>
      <w:r>
        <w:t xml:space="preserve"> (SIP). This means GCP certificates issued by </w:t>
      </w:r>
      <w:proofErr w:type="spellStart"/>
      <w:r>
        <w:t>FreeGCP</w:t>
      </w:r>
      <w:proofErr w:type="spellEnd"/>
      <w:r>
        <w:t xml:space="preserve"> are recognized across </w:t>
      </w:r>
      <w:proofErr w:type="spellStart"/>
      <w:r>
        <w:t>TransCelerate</w:t>
      </w:r>
      <w:proofErr w:type="spellEnd"/>
      <w:r>
        <w:t xml:space="preserve"> member sponsors, eliminating redundant GCP re-training when working across multiple sponsors or sites. The platform provides 574 lessons across 18 courses with rigorous assessments, and certificates include unique credential IDs and public verification URLs.</w:t>
      </w:r>
    </w:p>
    <w:p w14:paraId="0DCACCB9" w14:textId="77777777" w:rsidR="00E30754" w:rsidRDefault="00000000">
      <w:pPr>
        <w:spacing w:after="200"/>
      </w:pPr>
      <w:r>
        <w:t>I believe this training will strengthen both my professional capabilities and our team’s operational quality. I would welcome the opportunity to discuss this further at your convenience.</w:t>
      </w:r>
    </w:p>
    <w:p w14:paraId="381C8E27" w14:textId="77777777" w:rsidR="00E30754" w:rsidRDefault="00000000">
      <w:pPr>
        <w:spacing w:after="200"/>
      </w:pPr>
      <w:r>
        <w:t>Thank you for considering this request.</w:t>
      </w:r>
    </w:p>
    <w:p w14:paraId="3A8649CE" w14:textId="77777777" w:rsidR="00E30754" w:rsidRDefault="00000000">
      <w:r>
        <w:t>Sincerely,</w:t>
      </w:r>
    </w:p>
    <w:p w14:paraId="4CCA434B" w14:textId="77777777" w:rsidR="00E30754" w:rsidRDefault="00000000">
      <w:r>
        <w:rPr>
          <w:i/>
          <w:iCs/>
          <w:color w:val="666666"/>
        </w:rPr>
        <w:t>[Your Name]</w:t>
      </w:r>
    </w:p>
    <w:p w14:paraId="06847DD3" w14:textId="77777777" w:rsidR="00E30754" w:rsidRDefault="00000000">
      <w:r>
        <w:rPr>
          <w:i/>
          <w:iCs/>
          <w:color w:val="666666"/>
        </w:rPr>
        <w:t>[Your Title]</w:t>
      </w:r>
    </w:p>
    <w:p w14:paraId="23DBB882" w14:textId="77777777" w:rsidR="00E30754" w:rsidRDefault="00000000">
      <w:r>
        <w:rPr>
          <w:i/>
          <w:iCs/>
          <w:color w:val="666666"/>
        </w:rPr>
        <w:t>[Organization Name]</w:t>
      </w:r>
    </w:p>
    <w:sectPr w:rsidR="00E3075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A4E6" w14:textId="77777777" w:rsidR="005A0471" w:rsidRDefault="005A0471">
      <w:r>
        <w:separator/>
      </w:r>
    </w:p>
  </w:endnote>
  <w:endnote w:type="continuationSeparator" w:id="0">
    <w:p w14:paraId="3ACE298F" w14:textId="77777777" w:rsidR="005A0471" w:rsidRDefault="005A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6932" w14:textId="77777777" w:rsidR="00E30754" w:rsidRDefault="00000000">
    <w:pPr>
      <w:pBdr>
        <w:top w:val="single" w:sz="4" w:space="8" w:color="CCCCCC"/>
      </w:pBdr>
      <w:jc w:val="center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13595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3A32" w14:textId="77777777" w:rsidR="005A0471" w:rsidRDefault="005A0471">
      <w:r>
        <w:separator/>
      </w:r>
    </w:p>
  </w:footnote>
  <w:footnote w:type="continuationSeparator" w:id="0">
    <w:p w14:paraId="256857BA" w14:textId="77777777" w:rsidR="005A0471" w:rsidRDefault="005A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0A88" w14:textId="77777777" w:rsidR="00E30754" w:rsidRDefault="00000000">
    <w:pPr>
      <w:pBdr>
        <w:bottom w:val="single" w:sz="6" w:space="8" w:color="1A3C5E"/>
      </w:pBdr>
      <w:spacing w:after="200"/>
    </w:pPr>
    <w:r>
      <w:rPr>
        <w:b/>
        <w:bCs/>
        <w:color w:val="1A3C5E"/>
        <w:sz w:val="18"/>
        <w:szCs w:val="18"/>
      </w:rPr>
      <w:t xml:space="preserve">Professional Development </w:t>
    </w:r>
    <w:proofErr w:type="gramStart"/>
    <w:r>
      <w:rPr>
        <w:b/>
        <w:bCs/>
        <w:color w:val="1A3C5E"/>
        <w:sz w:val="18"/>
        <w:szCs w:val="18"/>
      </w:rPr>
      <w:t>Request</w:t>
    </w:r>
    <w:r>
      <w:rPr>
        <w:color w:val="999999"/>
        <w:sz w:val="18"/>
        <w:szCs w:val="18"/>
      </w:rPr>
      <w:t xml:space="preserve">  |</w:t>
    </w:r>
    <w:proofErr w:type="gramEnd"/>
    <w:r>
      <w:rPr>
        <w:color w:val="999999"/>
        <w:sz w:val="18"/>
        <w:szCs w:val="18"/>
      </w:rPr>
      <w:t xml:space="preserve">  </w:t>
    </w:r>
    <w:r>
      <w:rPr>
        <w:color w:val="666666"/>
        <w:sz w:val="18"/>
        <w:szCs w:val="18"/>
      </w:rPr>
      <w:t>FreeGCP.com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25D9"/>
    <w:multiLevelType w:val="hybridMultilevel"/>
    <w:tmpl w:val="46743448"/>
    <w:lvl w:ilvl="0" w:tplc="2B76A812">
      <w:start w:val="1"/>
      <w:numFmt w:val="bullet"/>
      <w:lvlText w:val="•"/>
      <w:lvlJc w:val="left"/>
      <w:pPr>
        <w:ind w:left="720" w:hanging="360"/>
      </w:pPr>
    </w:lvl>
    <w:lvl w:ilvl="1" w:tplc="60366974">
      <w:numFmt w:val="decimal"/>
      <w:lvlText w:val=""/>
      <w:lvlJc w:val="left"/>
    </w:lvl>
    <w:lvl w:ilvl="2" w:tplc="E02450EA">
      <w:numFmt w:val="decimal"/>
      <w:lvlText w:val=""/>
      <w:lvlJc w:val="left"/>
    </w:lvl>
    <w:lvl w:ilvl="3" w:tplc="8064E15E">
      <w:numFmt w:val="decimal"/>
      <w:lvlText w:val=""/>
      <w:lvlJc w:val="left"/>
    </w:lvl>
    <w:lvl w:ilvl="4" w:tplc="4E1E2A5C">
      <w:numFmt w:val="decimal"/>
      <w:lvlText w:val=""/>
      <w:lvlJc w:val="left"/>
    </w:lvl>
    <w:lvl w:ilvl="5" w:tplc="6890F928">
      <w:numFmt w:val="decimal"/>
      <w:lvlText w:val=""/>
      <w:lvlJc w:val="left"/>
    </w:lvl>
    <w:lvl w:ilvl="6" w:tplc="39B4FC14">
      <w:numFmt w:val="decimal"/>
      <w:lvlText w:val=""/>
      <w:lvlJc w:val="left"/>
    </w:lvl>
    <w:lvl w:ilvl="7" w:tplc="17E02CFC">
      <w:numFmt w:val="decimal"/>
      <w:lvlText w:val=""/>
      <w:lvlJc w:val="left"/>
    </w:lvl>
    <w:lvl w:ilvl="8" w:tplc="0D12D15E">
      <w:numFmt w:val="decimal"/>
      <w:lvlText w:val=""/>
      <w:lvlJc w:val="left"/>
    </w:lvl>
  </w:abstractNum>
  <w:abstractNum w:abstractNumId="1" w15:restartNumberingAfterBreak="0">
    <w:nsid w:val="19EC2BD3"/>
    <w:multiLevelType w:val="hybridMultilevel"/>
    <w:tmpl w:val="F0C44E20"/>
    <w:lvl w:ilvl="0" w:tplc="98020C3A">
      <w:start w:val="1"/>
      <w:numFmt w:val="bullet"/>
      <w:lvlText w:val="●"/>
      <w:lvlJc w:val="left"/>
      <w:pPr>
        <w:ind w:left="720" w:hanging="360"/>
      </w:pPr>
    </w:lvl>
    <w:lvl w:ilvl="1" w:tplc="9320B8D0">
      <w:start w:val="1"/>
      <w:numFmt w:val="bullet"/>
      <w:lvlText w:val="○"/>
      <w:lvlJc w:val="left"/>
      <w:pPr>
        <w:ind w:left="1440" w:hanging="360"/>
      </w:pPr>
    </w:lvl>
    <w:lvl w:ilvl="2" w:tplc="AAD40AEC">
      <w:start w:val="1"/>
      <w:numFmt w:val="bullet"/>
      <w:lvlText w:val="■"/>
      <w:lvlJc w:val="left"/>
      <w:pPr>
        <w:ind w:left="2160" w:hanging="360"/>
      </w:pPr>
    </w:lvl>
    <w:lvl w:ilvl="3" w:tplc="3B3CFD56">
      <w:start w:val="1"/>
      <w:numFmt w:val="bullet"/>
      <w:lvlText w:val="●"/>
      <w:lvlJc w:val="left"/>
      <w:pPr>
        <w:ind w:left="2880" w:hanging="360"/>
      </w:pPr>
    </w:lvl>
    <w:lvl w:ilvl="4" w:tplc="954CF8DE">
      <w:start w:val="1"/>
      <w:numFmt w:val="bullet"/>
      <w:lvlText w:val="○"/>
      <w:lvlJc w:val="left"/>
      <w:pPr>
        <w:ind w:left="3600" w:hanging="360"/>
      </w:pPr>
    </w:lvl>
    <w:lvl w:ilvl="5" w:tplc="DEEC9090">
      <w:start w:val="1"/>
      <w:numFmt w:val="bullet"/>
      <w:lvlText w:val="■"/>
      <w:lvlJc w:val="left"/>
      <w:pPr>
        <w:ind w:left="4320" w:hanging="360"/>
      </w:pPr>
    </w:lvl>
    <w:lvl w:ilvl="6" w:tplc="6D76A218">
      <w:start w:val="1"/>
      <w:numFmt w:val="bullet"/>
      <w:lvlText w:val="●"/>
      <w:lvlJc w:val="left"/>
      <w:pPr>
        <w:ind w:left="5040" w:hanging="360"/>
      </w:pPr>
    </w:lvl>
    <w:lvl w:ilvl="7" w:tplc="F33A7F9E">
      <w:start w:val="1"/>
      <w:numFmt w:val="bullet"/>
      <w:lvlText w:val="●"/>
      <w:lvlJc w:val="left"/>
      <w:pPr>
        <w:ind w:left="5760" w:hanging="360"/>
      </w:pPr>
    </w:lvl>
    <w:lvl w:ilvl="8" w:tplc="38767F26">
      <w:start w:val="1"/>
      <w:numFmt w:val="bullet"/>
      <w:lvlText w:val="●"/>
      <w:lvlJc w:val="left"/>
      <w:pPr>
        <w:ind w:left="6480" w:hanging="360"/>
      </w:pPr>
    </w:lvl>
  </w:abstractNum>
  <w:num w:numId="1" w16cid:durableId="271547894">
    <w:abstractNumId w:val="1"/>
    <w:lvlOverride w:ilvl="0">
      <w:startOverride w:val="1"/>
    </w:lvlOverride>
  </w:num>
  <w:num w:numId="2" w16cid:durableId="14148131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754"/>
    <w:rsid w:val="00135959"/>
    <w:rsid w:val="005A0471"/>
    <w:rsid w:val="008E594E"/>
    <w:rsid w:val="00E3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0F6B1"/>
  <w15:docId w15:val="{2E0B2224-9C8A-C749-ACEE-EA8D0F81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1A3C5E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1A3C5E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Andrew Michael, M.D.</cp:lastModifiedBy>
  <cp:revision>2</cp:revision>
  <dcterms:created xsi:type="dcterms:W3CDTF">2026-04-02T19:10:00Z</dcterms:created>
  <dcterms:modified xsi:type="dcterms:W3CDTF">2026-04-02T19:32:00Z</dcterms:modified>
</cp:coreProperties>
</file>